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449" w:lineRule="exact"/>
        <w:ind w:left="1433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bookmarkStart w:id="0" w:name="br1"/>
      <w:bookmarkEnd w:id="0"/>
      <w:r>
        <w:rPr>
          <w:rFonts w:ascii="SimHei" w:hAnsi="SimHei" w:eastAsiaTheme="minorEastAsia" w:cs="SimHei"/>
          <w:color w:val="000000"/>
          <w:sz w:val="44"/>
          <w:szCs w:val="22"/>
          <w:lang w:val="en-US" w:eastAsia="en-US" w:bidi="ar-SA"/>
        </w:rPr>
        <w:t>建设工程质量检测机构资质标准</w:t>
      </w:r>
    </w:p>
    <w:p>
      <w:pPr>
        <w:spacing w:before="76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为加强建设工程质量检测（以下简称质量检测）管理，根据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9"/>
          <w:sz w:val="32"/>
          <w:szCs w:val="22"/>
          <w:lang w:val="en-US" w:eastAsia="en-US" w:bidi="ar-SA"/>
        </w:rPr>
        <w:t>《建设工程质量管理条例》、《建设工程质量检测管理办法》，制定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建设工程质量检测机构（以下简称检测机构）资质标准。</w:t>
      </w:r>
    </w:p>
    <w:p>
      <w:pPr>
        <w:spacing w:before="205" w:after="0" w:line="370" w:lineRule="exact"/>
        <w:ind w:left="3521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一、</w:t>
      </w:r>
      <w:r>
        <w:rPr>
          <w:rFonts w:hAnsi="Calibri" w:eastAsiaTheme="minorEastAsia" w:cstheme="minorBidi"/>
          <w:color w:val="000000"/>
          <w:spacing w:val="9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总</w:t>
      </w:r>
      <w:r>
        <w:rPr>
          <w:rFonts w:hAnsi="Calibri" w:eastAsiaTheme="minorEastAsia" w:cstheme="minorBid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则</w:t>
      </w:r>
    </w:p>
    <w:p>
      <w:pPr>
        <w:spacing w:before="205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（一）本标准包括检测机构资历及信誉、主要人员、检测设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备及场所、管理水平等内容（见附件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1:主要人员配备表；附件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2：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检测专项及检测能力表）。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（二）检测机构资质分为二个类别：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1.综合资质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综合资质是指包括全部专项资质的检测机构资质。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2.专项资质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专项资质包括：建筑材料及构配件、主体结构及装饰装修、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钢结构、地基基础、建筑节能、建筑幕墙、市政工程材料、道路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工程、桥梁及地下工程等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个检测机构专项资质。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（三）检测机构资质不分等级。</w:t>
      </w:r>
    </w:p>
    <w:p>
      <w:pPr>
        <w:spacing w:before="202" w:after="0" w:line="370" w:lineRule="exact"/>
        <w:ind w:left="361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二、标</w:t>
      </w:r>
      <w:r>
        <w:rPr>
          <w:rFonts w:hAnsi="Calibri" w:eastAsiaTheme="minorEastAsia" w:cstheme="minorBid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准</w:t>
      </w:r>
    </w:p>
    <w:p>
      <w:pPr>
        <w:spacing w:before="95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（四）综合资质</w:t>
      </w:r>
    </w:p>
    <w:p>
      <w:pPr>
        <w:spacing w:before="20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1.资历及信誉</w:t>
      </w:r>
    </w:p>
    <w:p>
      <w:pPr>
        <w:spacing w:before="1203" w:after="0" w:line="198" w:lineRule="exact"/>
        <w:ind w:left="4464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2500" w:right="100" w:bottom="0" w:left="1440" w:header="720" w:footer="720" w:gutter="0"/>
          <w:pgNumType w:start="1"/>
          <w:cols w:sep="0" w:space="720"/>
          <w:docGrid w:linePitch="1"/>
        </w:sectPr>
      </w:pPr>
      <w:r>
        <w:rPr>
          <w:rFonts w:ascii="DengXian" w:hAnsi="Calibr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" w:name="br1_0"/>
      <w:bookmarkEnd w:id="1"/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（1）有独立法人资格的企业、事业单位，或依法设立的合伙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企业，且均具有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年以上质量检测经历。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（2）具有建筑材料及构配件（或市政工程材料）、主体结构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及装饰装修、建筑节能、钢结构、地基基础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个专项资质和其它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（3）具备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个专项资质全部必备检测参数。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（4）社会信誉良好，近</w:t>
      </w:r>
      <w:r>
        <w:rPr>
          <w:rFonts w:hAnsi="Calibr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年未发生过一般及以上工程质量安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全责任事故。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2.主要人员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（1）技术负责人应具有工程类专业正高级技术职称，质量负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责人应具有工程类专业高级及以上技术职称，且均具有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年以上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质量检测工作经历。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（2）注册结构工程师不少于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名（其中，一级注册结构工程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师不少于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名），注册土木工程师（岩土）不少于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名，且均具有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年以上质量检测工作经历。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（3）技术人员不少于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150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人，其中具有</w:t>
      </w:r>
      <w:r>
        <w:rPr>
          <w:rFonts w:hAnsi="Calibri" w:eastAsiaTheme="minorEastAsia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年以上质量检测工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作经历的工程类专业中级及以上技术职称人员不少于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60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4"/>
          <w:sz w:val="32"/>
          <w:szCs w:val="22"/>
          <w:lang w:val="en-US" w:eastAsia="en-US" w:bidi="ar-SA"/>
        </w:rPr>
        <w:t>人、工程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类专业高级及以上技术职称人员不少于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人。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3.检测设备及场所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（1）质量检测设备设施齐全，检测仪器设备功能、量程、精</w:t>
      </w:r>
    </w:p>
    <w:p>
      <w:pPr>
        <w:spacing w:before="1095" w:after="0" w:line="198" w:lineRule="exact"/>
        <w:ind w:left="4464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948" w:right="100" w:bottom="0" w:left="1440" w:header="720" w:footer="720" w:gutter="0"/>
          <w:pgNumType w:start="1"/>
          <w:cols w:sep="0" w:space="720"/>
          <w:docGrid w:linePitch="1"/>
        </w:sectPr>
      </w:pPr>
      <w:r>
        <w:rPr>
          <w:rFonts w:ascii="DengXian" w:hAnsi="Calibr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度，配套设备设施满足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个专项资质全部必备检测参数要求。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（2）有满足工作需要的固定工作场所及质量检测场所。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4.管理水平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（1）有完善的组织机构和质量管理体系，并满足《检测和校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准实验室能力的通用要求》GB/T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27025-2019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要求。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（2）有完善的信息化管理系统，检测业务受理、检测数据采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集、检测信息上传、检测报告出具、检测档案管理等质量检测活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动全过程可追溯。</w:t>
      </w:r>
    </w:p>
    <w:p>
      <w:pPr>
        <w:spacing w:before="314" w:after="0" w:line="329" w:lineRule="exact"/>
        <w:ind w:left="48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（五）专项资质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1.资历及信誉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（1）有独立法人资格的企业、事业单位，或依法设立的合伙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企业。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（2）主体结构及装饰装修、钢结构、地基基础、建筑幕墙、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道路工程、桥梁及地下工程等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项专项资质，应当具有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年以上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质量检测经历。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（3）具备所申请专项资质的全部必备检测参数。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（4）社会信誉良好，近</w:t>
      </w:r>
      <w:r>
        <w:rPr>
          <w:rFonts w:hAnsi="Calibr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年未发生过一般及以上工程质量安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全责任事故。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2.主要人员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（1）技术负责人应具有工程类专业高级及以上技术职称，质</w:t>
      </w:r>
    </w:p>
    <w:p>
      <w:pPr>
        <w:spacing w:before="1095" w:after="0" w:line="198" w:lineRule="exact"/>
        <w:ind w:left="4464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948" w:right="100" w:bottom="0" w:left="1440" w:header="720" w:footer="720" w:gutter="0"/>
          <w:pgNumType w:start="1"/>
          <w:cols w:sep="0" w:space="720"/>
          <w:docGrid w:linePitch="1"/>
        </w:sectPr>
      </w:pPr>
      <w:r>
        <w:rPr>
          <w:rFonts w:ascii="DengXian" w:hAnsi="Calibr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" w:name="br1_2"/>
      <w:bookmarkEnd w:id="3"/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量负责人应具有工程类专业中级及以上技术职称，且均具有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以上质量检测工作经历。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（2）主要人员数量不少于《主要人员配备表》规定要求。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3.检测设备及场所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（1）质量检测设备设施基本齐全，检测设备仪器功能、量程、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精度，配套设备设施满足所申请专项资质的全部必备检测参数要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求。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（2）有满足工作需要的固定工作场所及质量检测场所。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4.管理水平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（1）有完善的组织机构和质量管理体系，有健全的技术、档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案等管理制度。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（2）有信息化管理系统，质量检测活动全过程可追溯。</w:t>
      </w:r>
    </w:p>
    <w:p>
      <w:pPr>
        <w:spacing w:before="205" w:after="0" w:line="370" w:lineRule="exact"/>
        <w:ind w:left="343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三、业务范围</w:t>
      </w:r>
    </w:p>
    <w:p>
      <w:pPr>
        <w:spacing w:before="205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（六）综合资质</w:t>
      </w:r>
    </w:p>
    <w:p>
      <w:pPr>
        <w:spacing w:before="317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承担全部专项资质中已取得检测参数的检测业务。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（七）专项资质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承担所取得专项资质范围内已取得检测参数的检测业务。</w:t>
      </w:r>
    </w:p>
    <w:p>
      <w:pPr>
        <w:spacing w:before="205" w:after="0" w:line="370" w:lineRule="exact"/>
        <w:ind w:left="361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四、附</w:t>
      </w:r>
      <w:r>
        <w:rPr>
          <w:rFonts w:hAnsi="Calibri" w:eastAsiaTheme="minorEastAsia" w:cstheme="minorBid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则</w:t>
      </w:r>
    </w:p>
    <w:p>
      <w:pPr>
        <w:spacing w:before="208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（八）本标准规定的技术人员是指从事检测试验、检测数据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处理、检测报告出具和检测活动技术管理的人员。</w:t>
      </w:r>
    </w:p>
    <w:p>
      <w:pPr>
        <w:spacing w:before="314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（九）本标准规定的人员应不超过法定退休年龄。</w:t>
      </w:r>
    </w:p>
    <w:p>
      <w:pPr>
        <w:spacing w:before="807" w:after="0" w:line="198" w:lineRule="exact"/>
        <w:ind w:left="4464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948" w:right="100" w:bottom="0" w:left="1440" w:header="720" w:footer="720" w:gutter="0"/>
          <w:pgNumType w:start="1"/>
          <w:cols w:sep="0" w:space="720"/>
          <w:docGrid w:linePitch="1"/>
        </w:sectPr>
      </w:pPr>
      <w:r>
        <w:rPr>
          <w:rFonts w:ascii="DengXian" w:hAnsi="Calibr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（十）本标准中的“以上”、“不少于”均含本数。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（十一）本标准自发布之日起施行。</w:t>
      </w:r>
    </w:p>
    <w:p>
      <w:pPr>
        <w:spacing w:before="3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（十二）本标准由住房和城乡建设部负责解释。</w:t>
      </w:r>
    </w:p>
    <w:p>
      <w:pPr>
        <w:spacing w:before="12044" w:after="0" w:line="198" w:lineRule="exact"/>
        <w:ind w:left="3823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948" w:right="100" w:bottom="0" w:left="2081" w:header="720" w:footer="720" w:gutter="0"/>
          <w:pgNumType w:start="1"/>
          <w:cols w:sep="0" w:space="720"/>
          <w:docGrid w:linePitch="1"/>
        </w:sectPr>
      </w:pPr>
      <w:r>
        <w:rPr>
          <w:rFonts w:ascii="DengXian" w:hAnsi="Calibr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widowControl w:val="0"/>
        <w:spacing w:after="160" w:line="259" w:lineRule="auto"/>
        <w:jc w:val="center"/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</w:pPr>
      <w:bookmarkStart w:id="5" w:name="_GoBack"/>
      <w:r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  <w:t>迅捷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  <w:t>PDF转换器</w:t>
      </w:r>
    </w:p>
    <w:bookmarkEnd w:id="5"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DengXia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