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0" w:after="0" w:line="449" w:lineRule="exact"/>
        <w:ind w:left="1433" w:right="0" w:firstLine="0"/>
        <w:jc w:val="left"/>
        <w:rPr>
          <w:rFonts w:hAnsi="Calibri"/>
          <w:color w:val="000000"/>
          <w:sz w:val="44"/>
          <w:szCs w:val="22"/>
          <w:lang w:val="en-US" w:eastAsia="en-US" w:bidi="ar-SA"/>
        </w:rPr>
      </w:pPr>
      <w:bookmarkStart w:id="0" w:name="br1"/>
      <w:bookmarkEnd w:id="0"/>
      <w:r>
        <w:rPr>
          <w:rFonts w:ascii="SimHei" w:hAnsi="SimHei" w:eastAsiaTheme="minorEastAsia" w:cs="SimHei"/>
          <w:color w:val="000000"/>
          <w:sz w:val="44"/>
          <w:szCs w:val="22"/>
          <w:lang w:val="en-US" w:eastAsia="en-US" w:bidi="ar-SA"/>
        </w:rPr>
        <w:t>建设工程质量检测机构资质标准</w:t>
      </w:r>
    </w:p>
    <w:p>
      <w:pPr>
        <w:spacing w:before="763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为加强建设工程质量检测（以下简称质量检测）管理，根据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9"/>
          <w:sz w:val="32"/>
          <w:szCs w:val="22"/>
          <w:lang w:val="en-US" w:eastAsia="en-US" w:bidi="ar-SA"/>
        </w:rPr>
        <w:t>《建设工程质量管理条例》、《建设工程质量检测管理办法》，制定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建设工程质量检测机构（以下简称检测机构）资质标准。</w:t>
      </w:r>
    </w:p>
    <w:p>
      <w:pPr>
        <w:spacing w:before="205" w:after="0" w:line="370" w:lineRule="exact"/>
        <w:ind w:left="3521" w:right="0" w:firstLine="0"/>
        <w:jc w:val="lef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一、</w:t>
      </w:r>
      <w:r>
        <w:rPr>
          <w:rFonts w:hAnsi="Calibri" w:eastAsiaTheme="minorEastAsia" w:cstheme="minorBidi"/>
          <w:color w:val="000000"/>
          <w:spacing w:val="90"/>
          <w:sz w:val="36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总</w:t>
      </w:r>
      <w:r>
        <w:rPr>
          <w:rFonts w:hAnsi="Calibri" w:eastAsiaTheme="minorEastAsia" w:cstheme="minorBidi"/>
          <w:color w:val="000000"/>
          <w:spacing w:val="270"/>
          <w:sz w:val="36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则</w:t>
      </w:r>
    </w:p>
    <w:p>
      <w:pPr>
        <w:spacing w:before="205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（一）本标准包括检测机构资历及信誉、主要人员、检测设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备及场所、管理水平等内容（见附件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3"/>
          <w:sz w:val="32"/>
          <w:szCs w:val="22"/>
          <w:lang w:val="en-US" w:eastAsia="en-US" w:bidi="ar-SA"/>
        </w:rPr>
        <w:t>1:主要人员配备表；附件</w:t>
      </w:r>
      <w:r>
        <w:rPr>
          <w:rFonts w:hAnsi="Calibri" w:eastAsiaTheme="minorEastAsia" w:cstheme="minorBidi"/>
          <w:color w:val="000000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1"/>
          <w:sz w:val="32"/>
          <w:szCs w:val="22"/>
          <w:lang w:val="en-US" w:eastAsia="en-US" w:bidi="ar-SA"/>
        </w:rPr>
        <w:t>2：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3"/>
          <w:sz w:val="32"/>
          <w:szCs w:val="22"/>
          <w:lang w:val="en-US" w:eastAsia="en-US" w:bidi="ar-SA"/>
        </w:rPr>
        <w:t>检测专项及检测能力表）。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（二）检测机构资质分为二个类别：</w:t>
      </w:r>
    </w:p>
    <w:p>
      <w:pPr>
        <w:spacing w:before="317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1.综合资质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综合资质是指包括全部专项资质的检测机构资质。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2.专项资质</w:t>
      </w:r>
    </w:p>
    <w:p>
      <w:pPr>
        <w:spacing w:before="317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专项资质包括：建筑材料及构配件、主体结构及装饰装修、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2"/>
          <w:sz w:val="32"/>
          <w:szCs w:val="22"/>
          <w:lang w:val="en-US" w:eastAsia="en-US" w:bidi="ar-SA"/>
        </w:rPr>
        <w:t>钢结构、地基基础、建筑节能、建筑幕墙、市政工程材料、道路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工程、桥梁及地下工程等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9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个检测机构专项资质。</w:t>
      </w:r>
    </w:p>
    <w:p>
      <w:pPr>
        <w:spacing w:before="317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（三）检测机构资质不分等级。</w:t>
      </w:r>
    </w:p>
    <w:p>
      <w:pPr>
        <w:spacing w:before="202" w:after="0" w:line="370" w:lineRule="exact"/>
        <w:ind w:left="3612" w:right="0" w:firstLine="0"/>
        <w:jc w:val="lef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二、标</w:t>
      </w:r>
      <w:r>
        <w:rPr>
          <w:rFonts w:hAnsi="Calibri" w:eastAsiaTheme="minorEastAsia" w:cstheme="minorBidi"/>
          <w:color w:val="000000"/>
          <w:spacing w:val="270"/>
          <w:sz w:val="36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准</w:t>
      </w:r>
    </w:p>
    <w:p>
      <w:pPr>
        <w:spacing w:before="95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（四）综合资质</w:t>
      </w:r>
    </w:p>
    <w:p>
      <w:pPr>
        <w:spacing w:before="201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1.资历及信誉</w:t>
      </w:r>
    </w:p>
    <w:p>
      <w:pPr>
        <w:spacing w:before="1203" w:after="0" w:line="198" w:lineRule="exact"/>
        <w:ind w:left="4464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  <w:sectPr>
          <w:pgSz w:w="11900" w:h="16820"/>
          <w:pgMar w:top="2500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Fonts w:ascii="DengXian" w:hAnsi="Calibr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spacing w:before="0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" w:name="br1_0"/>
      <w:bookmarkEnd w:id="1"/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（1）有独立法人资格的企业、事业单位，或依法设立的合伙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企业，且均具有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15</w:t>
      </w:r>
      <w:r>
        <w:rPr>
          <w:rFonts w:hAnsi="Calibri" w:eastAsiaTheme="minorEastAsia" w:cstheme="minorBidi"/>
          <w:color w:val="000000"/>
          <w:spacing w:val="-3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年以上质量检测经历。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（2）具有建筑材料及构配件（或市政工程材料）、主体结构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及装饰装修、建筑节能、钢结构、地基基础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个专项资质和其它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个专项资质。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（3）具备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9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个专项资质全部必备检测参数。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9"/>
          <w:sz w:val="32"/>
          <w:szCs w:val="22"/>
          <w:lang w:val="en-US" w:eastAsia="en-US" w:bidi="ar-SA"/>
        </w:rPr>
        <w:t>（4）社会信誉良好，近</w:t>
      </w:r>
      <w:r>
        <w:rPr>
          <w:rFonts w:hAnsi="Calibri" w:eastAsiaTheme="minorEastAsia" w:cstheme="minorBidi"/>
          <w:color w:val="000000"/>
          <w:spacing w:val="7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年未发生过一般及以上工程质量安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全责任事故。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2.主要人员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（1）技术负责人应具有工程类专业正高级技术职称，质量负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2"/>
          <w:sz w:val="32"/>
          <w:szCs w:val="22"/>
          <w:lang w:val="en-US" w:eastAsia="en-US" w:bidi="ar-SA"/>
        </w:rPr>
        <w:t>责人应具有工程类专业高级及以上技术职称，且均具有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8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年以上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质量检测工作经历。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3"/>
          <w:sz w:val="32"/>
          <w:szCs w:val="22"/>
          <w:lang w:val="en-US" w:eastAsia="en-US" w:bidi="ar-SA"/>
        </w:rPr>
        <w:t>（2）注册结构工程师不少于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5"/>
          <w:sz w:val="32"/>
          <w:szCs w:val="22"/>
          <w:lang w:val="en-US" w:eastAsia="en-US" w:bidi="ar-SA"/>
        </w:rPr>
        <w:t>名（其中，一级注册结构工程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师不少于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4"/>
          <w:sz w:val="32"/>
          <w:szCs w:val="22"/>
          <w:lang w:val="en-US" w:eastAsia="en-US" w:bidi="ar-SA"/>
        </w:rPr>
        <w:t>名），注册土木工程师（岩土）不少于</w:t>
      </w:r>
      <w:r>
        <w:rPr>
          <w:rFonts w:hAnsi="Calibri" w:eastAsiaTheme="minorEastAsia" w:cstheme="minorBidi"/>
          <w:color w:val="000000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名，且均具有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年以上质量检测工作经历。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5"/>
          <w:sz w:val="32"/>
          <w:szCs w:val="22"/>
          <w:lang w:val="en-US" w:eastAsia="en-US" w:bidi="ar-SA"/>
        </w:rPr>
        <w:t>（3）技术人员不少于</w:t>
      </w:r>
      <w:r>
        <w:rPr>
          <w:rFonts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150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8"/>
          <w:sz w:val="32"/>
          <w:szCs w:val="22"/>
          <w:lang w:val="en-US" w:eastAsia="en-US" w:bidi="ar-SA"/>
        </w:rPr>
        <w:t>人，其中具有</w:t>
      </w:r>
      <w:r>
        <w:rPr>
          <w:rFonts w:hAnsi="Calibri" w:eastAsiaTheme="minorEastAsia" w:cstheme="minorBidi"/>
          <w:color w:val="000000"/>
          <w:spacing w:val="9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年以上质量检测工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作经历的工程类专业中级及以上技术职称人员不少于</w:t>
      </w:r>
      <w:r>
        <w:rPr>
          <w:rFonts w:hAnsi="Calibri" w:eastAsiaTheme="minorEastAsia" w:cstheme="minorBidi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60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24"/>
          <w:sz w:val="32"/>
          <w:szCs w:val="22"/>
          <w:lang w:val="en-US" w:eastAsia="en-US" w:bidi="ar-SA"/>
        </w:rPr>
        <w:t>人、工程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类专业高级及以上技术职称人员不少于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30</w:t>
      </w:r>
      <w:r>
        <w:rPr>
          <w:rFonts w:hAnsi="Calibri" w:eastAsiaTheme="minorEastAsia" w:cstheme="minorBidi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人。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3.检测设备及场所</w:t>
      </w:r>
    </w:p>
    <w:p>
      <w:pPr>
        <w:spacing w:before="317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（1）质量检测设备设施齐全，检测仪器设备功能、量程、精</w:t>
      </w:r>
    </w:p>
    <w:p>
      <w:pPr>
        <w:spacing w:before="1095" w:after="0" w:line="198" w:lineRule="exact"/>
        <w:ind w:left="4464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  <w:sectPr>
          <w:pgSz w:w="11900" w:h="16820"/>
          <w:pgMar w:top="1948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Fonts w:ascii="DengXian" w:hAnsi="Calibr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spacing w:before="0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2" w:name="br1_1"/>
      <w:bookmarkEnd w:id="2"/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度，配套设备设施满足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9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个专项资质全部必备检测参数要求。</w:t>
      </w:r>
    </w:p>
    <w:p>
      <w:pPr>
        <w:spacing w:before="317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（2）有满足工作需要的固定工作场所及质量检测场所。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4.管理水平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（1）有完善的组织机构和质量管理体系，并满足《检测和校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准实验室能力的通用要求》GB/T</w:t>
      </w:r>
      <w:r>
        <w:rPr>
          <w:rFonts w:hAnsi="Calibri" w:eastAsiaTheme="minorEastAsia" w:cstheme="minorBidi"/>
          <w:color w:val="000000"/>
          <w:spacing w:val="79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27025-2019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要求。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（2）有完善的信息化管理系统，检测业务受理、检测数据采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2"/>
          <w:sz w:val="32"/>
          <w:szCs w:val="22"/>
          <w:lang w:val="en-US" w:eastAsia="en-US" w:bidi="ar-SA"/>
        </w:rPr>
        <w:t>集、检测信息上传、检测报告出具、检测档案管理等质量检测活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动全过程可追溯。</w:t>
      </w:r>
    </w:p>
    <w:p>
      <w:pPr>
        <w:spacing w:before="314" w:after="0" w:line="329" w:lineRule="exact"/>
        <w:ind w:left="48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（五）专项资质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1.资历及信誉</w:t>
      </w:r>
    </w:p>
    <w:p>
      <w:pPr>
        <w:spacing w:before="317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（1）有独立法人资格的企业、事业单位，或依法设立的合伙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企业。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（2）主体结构及装饰装修、钢结构、地基基础、建筑幕墙、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2"/>
          <w:sz w:val="32"/>
          <w:szCs w:val="22"/>
          <w:lang w:val="en-US" w:eastAsia="en-US" w:bidi="ar-SA"/>
        </w:rPr>
        <w:t>道路工程、桥梁及地下工程等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6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2"/>
          <w:sz w:val="32"/>
          <w:szCs w:val="22"/>
          <w:lang w:val="en-US" w:eastAsia="en-US" w:bidi="ar-SA"/>
        </w:rPr>
        <w:t>项专项资质，应当具有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年以上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质量检测经历。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（3）具备所申请专项资质的全部必备检测参数。</w:t>
      </w:r>
    </w:p>
    <w:p>
      <w:pPr>
        <w:spacing w:before="317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9"/>
          <w:sz w:val="32"/>
          <w:szCs w:val="22"/>
          <w:lang w:val="en-US" w:eastAsia="en-US" w:bidi="ar-SA"/>
        </w:rPr>
        <w:t>（4）社会信誉良好，近</w:t>
      </w:r>
      <w:r>
        <w:rPr>
          <w:rFonts w:hAnsi="Calibri" w:eastAsiaTheme="minorEastAsia" w:cstheme="minorBidi"/>
          <w:color w:val="000000"/>
          <w:spacing w:val="7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年未发生过一般及以上工程质量安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全责任事故。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2.主要人员</w:t>
      </w:r>
    </w:p>
    <w:p>
      <w:pPr>
        <w:spacing w:before="317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（1）技术负责人应具有工程类专业高级及以上技术职称，质</w:t>
      </w:r>
    </w:p>
    <w:p>
      <w:pPr>
        <w:spacing w:before="1095" w:after="0" w:line="198" w:lineRule="exact"/>
        <w:ind w:left="4464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  <w:sectPr>
          <w:pgSz w:w="11900" w:h="16820"/>
          <w:pgMar w:top="1948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Fonts w:ascii="DengXian" w:hAnsi="Calibr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spacing w:before="0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" w:name="br1_2"/>
      <w:bookmarkEnd w:id="3"/>
      <w:r>
        <w:rPr>
          <w:rFonts w:ascii="FangSong" w:hAnsi="FangSong" w:eastAsiaTheme="minorEastAsia" w:cs="FangSong"/>
          <w:color w:val="000000"/>
          <w:spacing w:val="2"/>
          <w:sz w:val="32"/>
          <w:szCs w:val="22"/>
          <w:lang w:val="en-US" w:eastAsia="en-US" w:bidi="ar-SA"/>
        </w:rPr>
        <w:t>量负责人应具有工程类专业中级及以上技术职称，且均具有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以上质量检测工作经历。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（2）主要人员数量不少于《主要人员配备表》规定要求。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3.检测设备及场所</w:t>
      </w:r>
    </w:p>
    <w:p>
      <w:pPr>
        <w:spacing w:before="317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9"/>
          <w:sz w:val="32"/>
          <w:szCs w:val="22"/>
          <w:lang w:val="en-US" w:eastAsia="en-US" w:bidi="ar-SA"/>
        </w:rPr>
        <w:t>（1）质量检测设备设施基本齐全，检测设备仪器功能、量程、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2"/>
          <w:sz w:val="32"/>
          <w:szCs w:val="22"/>
          <w:lang w:val="en-US" w:eastAsia="en-US" w:bidi="ar-SA"/>
        </w:rPr>
        <w:t>精度，配套设备设施满足所申请专项资质的全部必备检测参数要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求。</w:t>
      </w:r>
    </w:p>
    <w:p>
      <w:pPr>
        <w:spacing w:before="317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（2）有满足工作需要的固定工作场所及质量检测场所。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4.管理水平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4"/>
          <w:sz w:val="32"/>
          <w:szCs w:val="22"/>
          <w:lang w:val="en-US" w:eastAsia="en-US" w:bidi="ar-SA"/>
        </w:rPr>
        <w:t>（1）有完善的组织机构和质量管理体系，有健全的技术、档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案等管理制度。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（2）有信息化管理系统，质量检测活动全过程可追溯。</w:t>
      </w:r>
    </w:p>
    <w:p>
      <w:pPr>
        <w:spacing w:before="205" w:after="0" w:line="370" w:lineRule="exact"/>
        <w:ind w:left="3432" w:right="0" w:firstLine="0"/>
        <w:jc w:val="lef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三、业务范围</w:t>
      </w:r>
    </w:p>
    <w:p>
      <w:pPr>
        <w:spacing w:before="205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（六）综合资质</w:t>
      </w:r>
    </w:p>
    <w:p>
      <w:pPr>
        <w:spacing w:before="317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承担全部专项资质中已取得检测参数的检测业务。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（七）专项资质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承担所取得专项资质范围内已取得检测参数的检测业务。</w:t>
      </w:r>
    </w:p>
    <w:p>
      <w:pPr>
        <w:spacing w:before="205" w:after="0" w:line="370" w:lineRule="exact"/>
        <w:ind w:left="3612" w:right="0" w:firstLine="0"/>
        <w:jc w:val="lef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四、附</w:t>
      </w:r>
      <w:r>
        <w:rPr>
          <w:rFonts w:hAnsi="Calibri" w:eastAsiaTheme="minorEastAsia" w:cstheme="minorBidi"/>
          <w:color w:val="000000"/>
          <w:spacing w:val="270"/>
          <w:sz w:val="36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则</w:t>
      </w:r>
    </w:p>
    <w:p>
      <w:pPr>
        <w:spacing w:before="208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3"/>
          <w:sz w:val="32"/>
          <w:szCs w:val="22"/>
          <w:lang w:val="en-US" w:eastAsia="en-US" w:bidi="ar-SA"/>
        </w:rPr>
        <w:t>（八）本标准规定的技术人员是指从事检测试验、检测数据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处理、检测报告出具和检测活动技术管理的人员。</w:t>
      </w:r>
    </w:p>
    <w:p>
      <w:pPr>
        <w:spacing w:before="314" w:after="0" w:line="329" w:lineRule="exact"/>
        <w:ind w:left="641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（九）本标准规定的人员应不超过法定退休年龄。</w:t>
      </w:r>
    </w:p>
    <w:p>
      <w:pPr>
        <w:spacing w:before="807" w:after="0" w:line="198" w:lineRule="exact"/>
        <w:ind w:left="4464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  <w:sectPr>
          <w:pgSz w:w="11900" w:h="16820"/>
          <w:pgMar w:top="1948" w:right="100" w:bottom="0" w:left="1440" w:header="720" w:footer="720" w:gutter="0"/>
          <w:pgNumType w:start="1"/>
          <w:cols w:sep="0" w:space="720"/>
          <w:docGrid w:linePitch="1"/>
        </w:sectPr>
      </w:pPr>
      <w:r>
        <w:rPr>
          <w:rFonts w:ascii="DengXian" w:hAnsi="Calibr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spacing w:before="0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" w:name="br1_3"/>
      <w:bookmarkEnd w:id="4"/>
      <w:r>
        <w:rPr>
          <w:rFonts w:ascii="FangSong" w:hAnsi="FangSong" w:eastAsiaTheme="minorEastAsia" w:cs="FangSong"/>
          <w:color w:val="000000"/>
          <w:spacing w:val="-14"/>
          <w:sz w:val="32"/>
          <w:szCs w:val="22"/>
          <w:lang w:val="en-US" w:eastAsia="en-US" w:bidi="ar-SA"/>
        </w:rPr>
        <w:t>（十）本标准中的“以上”、“不少于”均含本数。</w:t>
      </w:r>
    </w:p>
    <w:p>
      <w:pPr>
        <w:spacing w:before="317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（十一）本标准自发布之日起施行。</w:t>
      </w:r>
    </w:p>
    <w:p>
      <w:pPr>
        <w:spacing w:before="314" w:after="0" w:line="329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（十二）本标准由住房和城乡建设部负责解释。</w:t>
      </w:r>
    </w:p>
    <w:p>
      <w:pPr>
        <w:spacing w:before="12044" w:after="0" w:line="198" w:lineRule="exact"/>
        <w:ind w:left="3823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  <w:sectPr>
          <w:pgSz w:w="11900" w:h="16820"/>
          <w:pgMar w:top="1948" w:right="100" w:bottom="0" w:left="2081" w:header="720" w:footer="720" w:gutter="0"/>
          <w:pgNumType w:start="1"/>
          <w:cols w:sep="0" w:space="720"/>
          <w:docGrid w:linePitch="1"/>
        </w:sectPr>
      </w:pPr>
      <w:r>
        <w:rPr>
          <w:rFonts w:ascii="DengXian" w:hAnsi="Calibr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widowControl w:val="0"/>
        <w:spacing w:after="160" w:line="259" w:lineRule="auto"/>
        <w:jc w:val="center"/>
        <w:rPr>
          <w:rFonts w:ascii="宋体" w:eastAsia="宋体" w:hAnsi="宋体" w:cs="宋体" w:hint="eastAsia"/>
          <w:b/>
          <w:bCs/>
          <w:kern w:val="2"/>
          <w:sz w:val="32"/>
          <w:szCs w:val="32"/>
          <w:lang w:val="en-US" w:eastAsia="zh-CN" w:bidi="ar-SA"/>
        </w:rPr>
      </w:pPr>
      <w:bookmarkStart w:id="5" w:name="_GoBack"/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val="en-US" w:eastAsia="zh-CN" w:bidi="ar-SA"/>
        </w:rPr>
        <w:t>迅捷</w:t>
      </w:r>
      <w:r>
        <w:rPr>
          <w:rFonts w:ascii="宋体" w:eastAsia="宋体" w:hAnsi="宋体" w:cs="宋体" w:hint="eastAsia"/>
          <w:b/>
          <w:bCs/>
          <w:kern w:val="2"/>
          <w:sz w:val="32"/>
          <w:szCs w:val="32"/>
          <w:lang w:val="en-US" w:eastAsia="zh-CN" w:bidi="ar-SA"/>
        </w:rPr>
        <w:t>PDF转换器</w:t>
      </w:r>
    </w:p>
    <w:bookmarkEnd w:id="5"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DengXia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